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single" w:color="0891B2" w:sz="16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AFC" w:val="clear"/>
            <w:vAlign w:val="top"/>
          </w:tcPr>
          <w:p>
            <w:pPr>
              <w:shd w:fill="F8FAFC" w:val="clear"/>
              <w:spacing w:after="40"/>
            </w:pPr>
            <w:r>
              <w:rPr>
                <w:rFonts w:ascii="Arial" w:cs="Arial" w:eastAsia="Arial" w:hAnsi="Arial"/>
                <w:b/>
                <w:bCs/>
                <w:color w:val="0F172A"/>
                <w:sz w:val="26"/>
                <w:szCs w:val="26"/>
              </w:rPr>
              <w:t xml:space="preserve">MUSTERVORLAGE — Kleinunternehmer-Rechnung</w:t>
            </w:r>
          </w:p>
          <w:p>
            <w:pPr>
              <w:shd w:fill="F8FAFC" w:val="clear"/>
              <w:spacing w:after="80"/>
            </w:pPr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Kleinunternehmer Fatura Şablonu (§19 UStG) — Stirnio Rehber</w:t>
            </w:r>
          </w:p>
        </w:tc>
      </w:tr>
    </w:tbl>
    <w:p>
      <w:pPr>
        <w:spacing w:after="160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Rechnungssteller</w:t>
            </w:r>
          </w:p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[Ihr Firmenname / Vor- und Nachname]</w:t>
            </w:r>
          </w:p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[Straße, Hausnummer]</w:t>
            </w:r>
          </w:p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[PLZ, Ort]</w:t>
            </w:r>
          </w:p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[Telefon]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[E-Mail]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i/>
                <w:iCs/>
                <w:color w:val="92400E"/>
                <w:sz w:val="15"/>
                <w:szCs w:val="15"/>
              </w:rPr>
              <w:t xml:space="preserve">› Firma bilgileriniz. Einzelunternehmer iseniz kendi adınızı/soyadınızı yazabilirsiniz.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Rechnungsempfänger</w:t>
            </w:r>
          </w:p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[Kundenname / Firmenname]</w:t>
            </w:r>
          </w:p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[Straße, Hausnummer]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[PLZ, Ort]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i/>
                <w:iCs/>
                <w:color w:val="92400E"/>
                <w:sz w:val="15"/>
                <w:szCs w:val="15"/>
              </w:rPr>
              <w:t xml:space="preserve">› Müşterinin tam adı ve adresi — zorunlu (§14 Abs.4 Nr.1 UStG).</w:t>
            </w:r>
          </w:p>
        </w:tc>
      </w:tr>
    </w:tbl>
    <w:p>
      <w:pPr>
        <w:spacing w:after="120"/>
      </w:pP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64748B"/>
          <w:sz w:val="18"/>
          <w:szCs w:val="18"/>
        </w:rPr>
        <w:t xml:space="preserve">Rechnungsnummer:</w:t>
      </w:r>
      <w:r>
        <w:t xml:space="preserve">  </w:t>
      </w:r>
      <w:r>
        <w:rPr>
          <w:rFonts w:ascii="Arial" w:cs="Arial" w:eastAsia="Arial" w:hAnsi="Arial"/>
          <w:color w:val="0891B2"/>
          <w:sz w:val="18"/>
          <w:szCs w:val="18"/>
        </w:rPr>
        <w:t xml:space="preserve">[z. B. RE-2026-001]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92400E"/>
          <w:sz w:val="15"/>
          <w:szCs w:val="15"/>
        </w:rPr>
        <w:t xml:space="preserve">› Sıralı ve tekrarsız fatura numaranız (§14 Abs.4 Nr.4 UStG).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64748B"/>
          <w:sz w:val="18"/>
          <w:szCs w:val="18"/>
        </w:rPr>
        <w:t xml:space="preserve">Rechnungsdatum:</w:t>
      </w:r>
      <w:r>
        <w:t xml:space="preserve">  </w:t>
      </w:r>
      <w:r>
        <w:rPr>
          <w:rFonts w:ascii="Arial" w:cs="Arial" w:eastAsia="Arial" w:hAnsi="Arial"/>
          <w:color w:val="0891B2"/>
          <w:sz w:val="18"/>
          <w:szCs w:val="18"/>
        </w:rPr>
        <w:t xml:space="preserve">[TT.MM.JJJJ]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92400E"/>
          <w:sz w:val="15"/>
          <w:szCs w:val="15"/>
        </w:rPr>
        <w:t xml:space="preserve">› Faturanın kesildiği tarih (§14 Abs.4 Nr.3 UStG).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64748B"/>
          <w:sz w:val="18"/>
          <w:szCs w:val="18"/>
        </w:rPr>
        <w:t xml:space="preserve">Leistungsdatum:</w:t>
      </w:r>
      <w:r>
        <w:t xml:space="preserve">  </w:t>
      </w:r>
      <w:r>
        <w:rPr>
          <w:rFonts w:ascii="Arial" w:cs="Arial" w:eastAsia="Arial" w:hAnsi="Arial"/>
          <w:color w:val="0891B2"/>
          <w:sz w:val="18"/>
          <w:szCs w:val="18"/>
        </w:rPr>
        <w:t xml:space="preserve">[TT.MM.JJJJ oder „entspricht Rechnungsdatum“]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92400E"/>
          <w:sz w:val="15"/>
          <w:szCs w:val="15"/>
        </w:rPr>
        <w:t xml:space="preserve">› Hizmetin/teslimatın yapıldığı tarih. Fatura tarihiyle aynıysa bu ifadeyi kullanabilirsiniz — yalnızca kağıt/PDF faturalarda geçerlidir (§14 Abs.4 Nr.6 UStG, UStAE 14.5 Abs.16).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64748B"/>
          <w:sz w:val="18"/>
          <w:szCs w:val="18"/>
        </w:rPr>
        <w:t xml:space="preserve">Steuernummer / USt-IdNr.:</w:t>
      </w:r>
      <w:r>
        <w:t xml:space="preserve">  </w:t>
      </w:r>
      <w:r>
        <w:rPr>
          <w:rFonts w:ascii="Arial" w:cs="Arial" w:eastAsia="Arial" w:hAnsi="Arial"/>
          <w:color w:val="0891B2"/>
          <w:sz w:val="18"/>
          <w:szCs w:val="18"/>
        </w:rPr>
        <w:t xml:space="preserve">[XX/XXX/XXXXX]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92400E"/>
          <w:sz w:val="15"/>
          <w:szCs w:val="15"/>
        </w:rPr>
        <w:t xml:space="preserve">› SİZİN vergi numaranız — müşterinin değil. Kanunda müşterinin vergi numarasından hiç bahsedilmez (§14 Abs.4 Nr.2 UStG).</w:t>
      </w:r>
    </w:p>
    <w:p>
      <w:pPr>
        <w:spacing w:after="160" w:before="160"/>
      </w:pPr>
      <w:r>
        <w:rPr>
          <w:rFonts w:ascii="Arial" w:cs="Arial" w:eastAsia="Arial" w:hAnsi="Arial"/>
          <w:b/>
          <w:bCs/>
          <w:color w:val="000000"/>
          <w:sz w:val="32"/>
          <w:szCs w:val="32"/>
        </w:rPr>
        <w:t xml:space="preserve">Rechnung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0"/>
        <w:gridCol w:w="4066"/>
        <w:gridCol w:w="950"/>
        <w:gridCol w:w="1050"/>
        <w:gridCol w:w="1800"/>
        <w:gridCol w:w="1950"/>
      </w:tblGrid>
      <w:tr>
        <w:trPr>
          <w:cantSplit/>
        </w:trPr>
        <w:tc>
          <w:tcPr>
            <w:tcW w:type="dxa" w:w="650"/>
            <w:shd w:fill="F8FAFC" w:val="clear"/>
          </w:tcPr>
          <w:p>
            <w:r>
              <w:rPr>
                <w:rFonts w:ascii="Arial" w:cs="Arial" w:eastAsia="Arial" w:hAnsi="Arial"/>
                <w:b/>
                <w:bCs/>
                <w:color w:val="64748B"/>
                <w:sz w:val="15"/>
                <w:szCs w:val="15"/>
              </w:rPr>
              <w:t xml:space="preserve">Pos.</w:t>
            </w:r>
          </w:p>
        </w:tc>
        <w:tc>
          <w:tcPr>
            <w:tcW w:type="dxa" w:w="4066"/>
            <w:shd w:fill="F8FAFC" w:val="clear"/>
          </w:tcPr>
          <w:p>
            <w:r>
              <w:rPr>
                <w:rFonts w:ascii="Arial" w:cs="Arial" w:eastAsia="Arial" w:hAnsi="Arial"/>
                <w:b/>
                <w:bCs/>
                <w:color w:val="64748B"/>
                <w:sz w:val="15"/>
                <w:szCs w:val="15"/>
              </w:rPr>
              <w:t xml:space="preserve">Beschreibung</w:t>
            </w:r>
          </w:p>
        </w:tc>
        <w:tc>
          <w:tcPr>
            <w:tcW w:type="dxa" w:w="950"/>
            <w:shd w:fill="F8FAFC" w:val="clear"/>
          </w:tcPr>
          <w:p>
            <w:r>
              <w:rPr>
                <w:rFonts w:ascii="Arial" w:cs="Arial" w:eastAsia="Arial" w:hAnsi="Arial"/>
                <w:b/>
                <w:bCs/>
                <w:color w:val="64748B"/>
                <w:sz w:val="15"/>
                <w:szCs w:val="15"/>
              </w:rPr>
              <w:t xml:space="preserve">Menge</w:t>
            </w:r>
          </w:p>
        </w:tc>
        <w:tc>
          <w:tcPr>
            <w:tcW w:type="dxa" w:w="1050"/>
            <w:shd w:fill="F8FAFC" w:val="clear"/>
          </w:tcPr>
          <w:p>
            <w:r>
              <w:rPr>
                <w:rFonts w:ascii="Arial" w:cs="Arial" w:eastAsia="Arial" w:hAnsi="Arial"/>
                <w:b/>
                <w:bCs/>
                <w:color w:val="64748B"/>
                <w:sz w:val="15"/>
                <w:szCs w:val="15"/>
              </w:rPr>
              <w:t xml:space="preserve">Einheit</w:t>
            </w:r>
          </w:p>
        </w:tc>
        <w:tc>
          <w:tcPr>
            <w:tcW w:type="dxa" w:w="1800"/>
            <w:shd w:fill="F8FAFC" w:val="clear"/>
          </w:tcPr>
          <w:p>
            <w:r>
              <w:rPr>
                <w:rFonts w:ascii="Arial" w:cs="Arial" w:eastAsia="Arial" w:hAnsi="Arial"/>
                <w:b/>
                <w:bCs/>
                <w:color w:val="64748B"/>
                <w:sz w:val="15"/>
                <w:szCs w:val="15"/>
              </w:rPr>
              <w:t xml:space="preserve">Einzelpreis</w:t>
            </w:r>
          </w:p>
        </w:tc>
        <w:tc>
          <w:tcPr>
            <w:tcW w:type="dxa" w:w="1950"/>
            <w:shd w:fill="F8FAFC" w:val="clear"/>
          </w:tcPr>
          <w:p>
            <w:r>
              <w:rPr>
                <w:rFonts w:ascii="Arial" w:cs="Arial" w:eastAsia="Arial" w:hAnsi="Arial"/>
                <w:b/>
                <w:bCs/>
                <w:color w:val="64748B"/>
                <w:sz w:val="15"/>
                <w:szCs w:val="15"/>
              </w:rPr>
              <w:t xml:space="preserve">Gesamt</w:t>
            </w:r>
          </w:p>
        </w:tc>
      </w:tr>
      <w:tr>
        <w:trPr>
          <w:cantSplit/>
        </w:trPr>
        <w:tc>
          <w:tcPr>
            <w:tcW w:type="dxa" w:w="650"/>
          </w:tcPr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1</w:t>
            </w:r>
          </w:p>
        </w:tc>
        <w:tc>
          <w:tcPr>
            <w:tcW w:type="dxa" w:w="4066"/>
          </w:tcPr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[Leistungsbeschreibung, z. B. Beratung Website]</w:t>
            </w:r>
          </w:p>
        </w:tc>
        <w:tc>
          <w:tcPr>
            <w:tcW w:type="dxa" w:w="950"/>
          </w:tcPr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[Menge]</w:t>
            </w:r>
          </w:p>
        </w:tc>
        <w:tc>
          <w:tcPr>
            <w:tcW w:type="dxa" w:w="1050"/>
          </w:tcPr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[Einheit]</w:t>
            </w:r>
          </w:p>
        </w:tc>
        <w:tc>
          <w:tcPr>
            <w:tcW w:type="dxa" w:w="1800"/>
          </w:tcPr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[Einzelpreis]</w:t>
            </w:r>
          </w:p>
        </w:tc>
        <w:tc>
          <w:tcPr>
            <w:tcW w:type="dxa" w:w="1950"/>
          </w:tcPr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[Gesamt]</w:t>
            </w:r>
          </w:p>
        </w:tc>
      </w:tr>
      <w:tr>
        <w:trPr>
          <w:cantSplit/>
        </w:trPr>
        <w:tc>
          <w:tcPr>
            <w:tcW w:type="dxa" w:w="650"/>
          </w:tcPr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2</w:t>
            </w:r>
          </w:p>
        </w:tc>
        <w:tc>
          <w:tcPr>
            <w:tcW w:type="dxa" w:w="4066"/>
          </w:tcPr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[Leistungsbeschreibung]</w:t>
            </w:r>
          </w:p>
        </w:tc>
        <w:tc>
          <w:tcPr>
            <w:tcW w:type="dxa" w:w="950"/>
          </w:tcPr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[Menge]</w:t>
            </w:r>
          </w:p>
        </w:tc>
        <w:tc>
          <w:tcPr>
            <w:tcW w:type="dxa" w:w="1050"/>
          </w:tcPr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[Einheit]</w:t>
            </w:r>
          </w:p>
        </w:tc>
        <w:tc>
          <w:tcPr>
            <w:tcW w:type="dxa" w:w="1800"/>
          </w:tcPr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[Einzelpreis]</w:t>
            </w:r>
          </w:p>
        </w:tc>
        <w:tc>
          <w:tcPr>
            <w:tcW w:type="dxa" w:w="1950"/>
          </w:tcPr>
          <w:p>
            <w:r>
              <w:rPr>
                <w:rFonts w:ascii="Arial" w:cs="Arial" w:eastAsia="Arial" w:hAnsi="Arial"/>
                <w:color w:val="0891B2"/>
                <w:sz w:val="18"/>
                <w:szCs w:val="18"/>
              </w:rPr>
              <w:t xml:space="preserve">[Gesamt]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rFonts w:ascii="Arial" w:cs="Arial" w:eastAsia="Arial" w:hAnsi="Arial"/>
          <w:i/>
          <w:iCs/>
          <w:color w:val="92400E"/>
          <w:sz w:val="15"/>
          <w:szCs w:val="15"/>
        </w:rPr>
        <w:t xml:space="preserve">› Teslim edilen malın/hizmetin miktarı ve türü (§14 Abs.4 Nr.5 UStG). KDV oranı sütunu bilerek yok — Kleinunternehmer faturasında KDV hiç hesaplanmaz.</w:t>
      </w:r>
    </w:p>
    <w:p>
      <w:pPr>
        <w:spacing w:after="120"/>
      </w:pPr>
    </w:p>
    <w:tbl>
      <w:tblPr>
        <w:tblW w:type="dxa" w:w="10466"/>
        <w:tblBorders>
          <w:top w:val="single" w:color="000000" w:sz="6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26"/>
        <w:gridCol w:w="3140"/>
      </w:tblGrid>
      <w:tr>
        <w:trPr>
          <w:cantSplit/>
        </w:trPr>
        <w:tc>
          <w:tcPr>
            <w:tcW w:type="dxa" w:w="7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Gesamtbetrag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891B2"/>
                <w:sz w:val="22"/>
                <w:szCs w:val="22"/>
              </w:rPr>
              <w:t xml:space="preserve">[TOPLAM TUTAR] €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Gemäß § 19 UStG wird keine Umsatzsteuer berechnet.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92400E"/>
          <w:sz w:val="15"/>
          <w:szCs w:val="15"/>
        </w:rPr>
        <w:t xml:space="preserve">› Bu not, KDV'nin neden hesaplanmadığının yasal gerekçesidir — vergi muafiyeti notu (§14 Abs.4 Nr.8 UStG). Metni değiştirmeden birebir kullanın.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Zahlungsinformationen</w:t>
      </w: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  (yasal zorunluluk değil, pratik bilgi)</w:t>
      </w:r>
    </w:p>
    <w:p>
      <w:r>
        <w:rPr>
          <w:rFonts w:ascii="Arial" w:cs="Arial" w:eastAsia="Arial" w:hAnsi="Arial"/>
          <w:b/>
          <w:bCs/>
          <w:color w:val="0F172A"/>
          <w:sz w:val="18"/>
          <w:szCs w:val="18"/>
        </w:rPr>
        <w:t xml:space="preserve">Zahlungsziel: </w:t>
      </w:r>
      <w:r>
        <w:rPr>
          <w:rFonts w:ascii="Arial" w:cs="Arial" w:eastAsia="Arial" w:hAnsi="Arial"/>
          <w:color w:val="0891B2"/>
          <w:sz w:val="18"/>
          <w:szCs w:val="18"/>
        </w:rPr>
        <w:t xml:space="preserve">[z. B. 14 Tage / TT.MM.JJJJ]</w:t>
      </w:r>
    </w:p>
    <w:p>
      <w:r>
        <w:rPr>
          <w:rFonts w:ascii="Arial" w:cs="Arial" w:eastAsia="Arial" w:hAnsi="Arial"/>
          <w:b/>
          <w:bCs/>
          <w:color w:val="0F172A"/>
          <w:sz w:val="18"/>
          <w:szCs w:val="18"/>
        </w:rPr>
        <w:t xml:space="preserve">Kontoinhaber: </w:t>
      </w:r>
      <w:r>
        <w:rPr>
          <w:rFonts w:ascii="Arial" w:cs="Arial" w:eastAsia="Arial" w:hAnsi="Arial"/>
          <w:color w:val="0891B2"/>
          <w:sz w:val="18"/>
          <w:szCs w:val="18"/>
        </w:rPr>
        <w:t xml:space="preserve">[Vor- und Nachname]</w:t>
      </w:r>
    </w:p>
    <w:p>
      <w:r>
        <w:rPr>
          <w:rFonts w:ascii="Arial" w:cs="Arial" w:eastAsia="Arial" w:hAnsi="Arial"/>
          <w:b/>
          <w:bCs/>
          <w:color w:val="0F172A"/>
          <w:sz w:val="18"/>
          <w:szCs w:val="18"/>
        </w:rPr>
        <w:t xml:space="preserve">IBAN: </w:t>
      </w:r>
      <w:r>
        <w:rPr>
          <w:rFonts w:ascii="Arial" w:cs="Arial" w:eastAsia="Arial" w:hAnsi="Arial"/>
          <w:color w:val="0891B2"/>
          <w:sz w:val="18"/>
          <w:szCs w:val="18"/>
        </w:rPr>
        <w:t xml:space="preserve">[DEXX XXXX XXXX XXXX XXXX XX]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F172A"/>
          <w:sz w:val="18"/>
          <w:szCs w:val="18"/>
        </w:rPr>
        <w:t xml:space="preserve">BIC: </w:t>
      </w:r>
      <w:r>
        <w:rPr>
          <w:rFonts w:ascii="Arial" w:cs="Arial" w:eastAsia="Arial" w:hAnsi="Arial"/>
          <w:color w:val="0891B2"/>
          <w:sz w:val="18"/>
          <w:szCs w:val="18"/>
        </w:rPr>
        <w:t xml:space="preserve">[XXXXXXXX]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92400E"/>
          <w:sz w:val="15"/>
          <w:szCs w:val="15"/>
        </w:rPr>
        <w:t xml:space="preserve">› Ödemenin sorunsuz alınması için pratikte gerekli, ancak §14 UStG kapsamında zorunlu değildir.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475569"/>
          <w:sz w:val="16"/>
          <w:szCs w:val="16"/>
        </w:rPr>
        <w:t xml:space="preserve">Nadiren geçerli özel durumlar</w:t>
      </w:r>
    </w:p>
    <w:p>
      <w:r>
        <w:rPr>
          <w:rFonts w:ascii="Arial" w:cs="Arial" w:eastAsia="Arial" w:hAnsi="Arial"/>
          <w:color w:val="475569"/>
          <w:sz w:val="15"/>
          <w:szCs w:val="15"/>
        </w:rPr>
        <w:t xml:space="preserve">Bazı durumlarda ek notlar gerekir: yapı işlerinde özel/tüzel kişilere hizmet verirseniz, müşterinin faturayı saklama yükümlülüğüne dair bir not eklenmelidir (§14 Abs.4 Nr.9, §14b Abs.1 Satz 5 UStG). Faturayı müşteri (veya onun adına biri) düzenliyorsa "Gutschrift" ibaresi kullanılır (§14 Abs.4 Nr.10 UStG). Bu şablon bu iki nadir durumu kapsamaz. Ayrıca 250 €'nun altındaki faturalarda (Kleinbetragsrechnung) farklı, daha kısa bir kural seti geçerlidir (§33 UStDV) — bu şablon tam fatura kurallarını (§14 UStG) esas alır.</w:t>
      </w:r>
    </w:p>
    <w:p>
      <w:pPr>
        <w:pBdr>
          <w:top w:val="single" w:color="0891B2" w:sz="8" w:space="8"/>
        </w:pBdr>
        <w:spacing w:before="300"/>
      </w:pPr>
      <w:r>
        <w:rPr>
          <w:rFonts w:ascii="Arial" w:cs="Arial" w:eastAsia="Arial" w:hAnsi="Arial"/>
          <w:i/>
          <w:iCs/>
          <w:color w:val="475569"/>
          <w:sz w:val="16"/>
          <w:szCs w:val="16"/>
        </w:rPr>
        <w:t xml:space="preserve">Bu şablon genel bilgilendirme amaçlıdır ve hukuki veya vergisel danışmanlık yerine geçmez. Kendi durumunuz için bir Steuerberater'a (mali müşavir) danışmanızı öneririz. Kaynak: § 14 Abs. 4 UStG — bkz. Stirnio Rehber, "Almanya'da Fatura Nasıl Kesilir?".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2026-09-14T16:18:33.567Z</dcterms:created>
  <dcterms:modified xsi:type="dcterms:W3CDTF">2026-09-14T16:18:33.569Z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